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BFD6" w14:textId="3FD175E9" w:rsidR="00F458B7" w:rsidRDefault="00F458B7">
      <w:pPr>
        <w:rPr>
          <w:b/>
          <w:bCs/>
        </w:rPr>
      </w:pPr>
      <w:r w:rsidRPr="00F458B7">
        <w:rPr>
          <w:b/>
          <w:bCs/>
        </w:rPr>
        <w:t>Federal Funding Accountability and Transparency Act</w:t>
      </w:r>
    </w:p>
    <w:p w14:paraId="1DB4FBE9" w14:textId="29D375B1" w:rsidR="00221BCA" w:rsidRPr="00F458B7" w:rsidRDefault="00221BCA">
      <w:pPr>
        <w:rPr>
          <w:b/>
          <w:bCs/>
        </w:rPr>
      </w:pPr>
      <w:r>
        <w:rPr>
          <w:b/>
          <w:bCs/>
        </w:rPr>
        <w:t>SUPTRS-BG Substance Use Prevention Treatment and Recovery Services Block Grant</w:t>
      </w:r>
    </w:p>
    <w:p w14:paraId="3AE121E9" w14:textId="5FB0603E" w:rsidR="00F14914" w:rsidRDefault="00F458B7">
      <w:r>
        <w:t>The LaPorte County Drug Free Partnership is the recipient of a 2 year grant contract for the period of July 1, 2024- June 30, 2026 totaling</w:t>
      </w:r>
      <w:r>
        <w:t xml:space="preserve"> $325,000 </w:t>
      </w:r>
      <w:r>
        <w:t>from the Indiana Family &amp; Social Service</w:t>
      </w:r>
      <w:r w:rsidR="00221BCA">
        <w:t xml:space="preserve">s </w:t>
      </w:r>
      <w:r>
        <w:t xml:space="preserve">Administration’s Department of Mental Health from the Catalog of Federal Domestic Assistance (CFDA Substance Use Prevention Treatment and Recovery Service (SUPTRS-BG) block grant funds </w:t>
      </w:r>
      <w:r w:rsidR="00F14914">
        <w:t>The state mandates</w:t>
      </w:r>
      <w:r w:rsidR="002E3CE3" w:rsidRPr="002E3CE3">
        <w:t xml:space="preserve"> </w:t>
      </w:r>
      <w:r w:rsidR="002E3CE3">
        <w:t xml:space="preserve">a focus on </w:t>
      </w:r>
      <w:r w:rsidR="002E3CE3">
        <w:t xml:space="preserve">approved </w:t>
      </w:r>
      <w:r w:rsidR="002E3CE3">
        <w:t>evidence-based prevention strategies</w:t>
      </w:r>
      <w:r w:rsidR="002E3CE3">
        <w:t xml:space="preserve"> with the majority of funding allocated as part of a work plan</w:t>
      </w:r>
      <w:r w:rsidR="002E3CE3">
        <w:t xml:space="preserve"> as approved by the Indiana Department of Mental Health with technical assistance guidance provided by Prevention Insights at Indiana University.</w:t>
      </w:r>
      <w:r w:rsidR="002E3CE3">
        <w:t xml:space="preserve"> </w:t>
      </w:r>
      <w:r w:rsidR="00F14914">
        <w:t xml:space="preserve"> </w:t>
      </w:r>
      <w:r w:rsidR="002E3CE3">
        <w:t xml:space="preserve">The state further mandates </w:t>
      </w:r>
      <w:r w:rsidR="00F14914">
        <w:t xml:space="preserve">at least 2 Project Leads with </w:t>
      </w:r>
      <w:r w:rsidR="002E3CE3">
        <w:t xml:space="preserve">the Certified Prevention Specialist credential or </w:t>
      </w:r>
      <w:r w:rsidR="00F14914">
        <w:t>at least 45 hours of Prev</w:t>
      </w:r>
      <w:r w:rsidR="002E3CE3">
        <w:t xml:space="preserve">ention Training. </w:t>
      </w:r>
      <w:r w:rsidR="00221BCA">
        <w:t>The grantee has opted for 3 contractual Project Leads as 1099 Contractors (no benefits) to allow for contract compliance due to potential attrition.</w:t>
      </w:r>
    </w:p>
    <w:p w14:paraId="7663443E" w14:textId="1EFEEA85" w:rsidR="00F14914" w:rsidRDefault="00F14914">
      <w:r>
        <w:t>The Scope of Work requires:</w:t>
      </w:r>
    </w:p>
    <w:p w14:paraId="70CFE681" w14:textId="25DB032D" w:rsidR="00F14914" w:rsidRDefault="00F14914" w:rsidP="00F14914">
      <w:pPr>
        <w:pStyle w:val="ListParagraph"/>
        <w:numPr>
          <w:ilvl w:val="0"/>
          <w:numId w:val="1"/>
        </w:numPr>
      </w:pPr>
      <w:r>
        <w:t>Community Assessment</w:t>
      </w:r>
    </w:p>
    <w:p w14:paraId="00E8D65F" w14:textId="66E29EDC" w:rsidR="00F14914" w:rsidRDefault="00F14914" w:rsidP="00F14914">
      <w:pPr>
        <w:pStyle w:val="ListParagraph"/>
        <w:numPr>
          <w:ilvl w:val="0"/>
          <w:numId w:val="1"/>
        </w:numPr>
      </w:pPr>
      <w:r>
        <w:t>Work Plan including Logic Models</w:t>
      </w:r>
    </w:p>
    <w:p w14:paraId="25E88451" w14:textId="23EEA625" w:rsidR="00F14914" w:rsidRDefault="00F14914" w:rsidP="00F14914">
      <w:pPr>
        <w:pStyle w:val="ListParagraph"/>
        <w:numPr>
          <w:ilvl w:val="0"/>
          <w:numId w:val="1"/>
        </w:numPr>
      </w:pPr>
      <w:r>
        <w:t>Evaluation Plan &amp; Report</w:t>
      </w:r>
    </w:p>
    <w:p w14:paraId="69E6E307" w14:textId="4C379433" w:rsidR="00F14914" w:rsidRDefault="00F14914" w:rsidP="00F14914">
      <w:pPr>
        <w:pStyle w:val="ListParagraph"/>
        <w:numPr>
          <w:ilvl w:val="0"/>
          <w:numId w:val="1"/>
        </w:numPr>
      </w:pPr>
      <w:r>
        <w:t>Monthly &amp; Quarterly Progress reports</w:t>
      </w:r>
    </w:p>
    <w:p w14:paraId="4ADF8286" w14:textId="6D9B6949" w:rsidR="00F14914" w:rsidRDefault="00F14914" w:rsidP="00F14914">
      <w:pPr>
        <w:pStyle w:val="ListParagraph"/>
        <w:numPr>
          <w:ilvl w:val="0"/>
          <w:numId w:val="1"/>
        </w:numPr>
      </w:pPr>
      <w:r>
        <w:t>Expenditure Reports</w:t>
      </w:r>
    </w:p>
    <w:p w14:paraId="11FDC0D5" w14:textId="4D2FDAA2" w:rsidR="002E3CE3" w:rsidRDefault="00F14914" w:rsidP="002E3CE3">
      <w:pPr>
        <w:pStyle w:val="ListParagraph"/>
        <w:numPr>
          <w:ilvl w:val="0"/>
          <w:numId w:val="1"/>
        </w:numPr>
      </w:pPr>
      <w:r>
        <w:t>SUPTRS-BG National Outcome Measure Data</w:t>
      </w:r>
    </w:p>
    <w:p w14:paraId="6A92A78A" w14:textId="0AF4BC9F" w:rsidR="002E3CE3" w:rsidRDefault="002E3CE3" w:rsidP="00221BCA">
      <w:pPr>
        <w:spacing w:after="0" w:line="240" w:lineRule="auto"/>
      </w:pPr>
      <w:r>
        <w:t xml:space="preserve">Indiana DMHA Approved Budget </w:t>
      </w:r>
    </w:p>
    <w:p w14:paraId="5519D328" w14:textId="5F5B256E" w:rsidR="000E655F" w:rsidRDefault="000E655F" w:rsidP="00221BCA">
      <w:pPr>
        <w:spacing w:after="0" w:line="240" w:lineRule="auto"/>
      </w:pPr>
      <w:r>
        <w:t xml:space="preserve">Year </w:t>
      </w:r>
      <w:proofErr w:type="gramStart"/>
      <w:r>
        <w:t>1  $</w:t>
      </w:r>
      <w:proofErr w:type="gramEnd"/>
      <w:r>
        <w:t>127,188</w:t>
      </w:r>
    </w:p>
    <w:p w14:paraId="7781F528" w14:textId="3B0AB9D5" w:rsidR="000E655F" w:rsidRDefault="000E655F" w:rsidP="00221BCA">
      <w:pPr>
        <w:spacing w:after="0" w:line="240" w:lineRule="auto"/>
      </w:pPr>
      <w:r>
        <w:t xml:space="preserve">Year </w:t>
      </w:r>
      <w:proofErr w:type="gramStart"/>
      <w:r>
        <w:t>2  $</w:t>
      </w:r>
      <w:proofErr w:type="gramEnd"/>
      <w:r>
        <w:t xml:space="preserve"> 197,182</w:t>
      </w:r>
    </w:p>
    <w:p w14:paraId="6932EF12" w14:textId="1E84AD44" w:rsidR="000E655F" w:rsidRPr="00221BCA" w:rsidRDefault="000E655F" w:rsidP="00221BCA">
      <w:pPr>
        <w:spacing w:after="0" w:line="240" w:lineRule="auto"/>
        <w:rPr>
          <w:b/>
          <w:bCs/>
        </w:rPr>
      </w:pPr>
      <w:r w:rsidRPr="00221BCA">
        <w:rPr>
          <w:b/>
          <w:bCs/>
        </w:rPr>
        <w:t>Grand Total $325,000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632DB" w:rsidRPr="00221BCA" w14:paraId="6BD0F313" w14:textId="77777777" w:rsidTr="000E655F">
        <w:tc>
          <w:tcPr>
            <w:tcW w:w="1870" w:type="dxa"/>
          </w:tcPr>
          <w:p w14:paraId="7D2B4FD5" w14:textId="3196F912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Budget Category</w:t>
            </w:r>
          </w:p>
        </w:tc>
        <w:tc>
          <w:tcPr>
            <w:tcW w:w="1870" w:type="dxa"/>
          </w:tcPr>
          <w:p w14:paraId="7585B944" w14:textId="07EC1676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Budgeted Amount Yr 1</w:t>
            </w:r>
          </w:p>
        </w:tc>
        <w:tc>
          <w:tcPr>
            <w:tcW w:w="1870" w:type="dxa"/>
          </w:tcPr>
          <w:p w14:paraId="62C3ABC7" w14:textId="77777777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% Total of Overall</w:t>
            </w:r>
          </w:p>
          <w:p w14:paraId="1D1C15D9" w14:textId="439C185F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Yr 1</w:t>
            </w:r>
          </w:p>
        </w:tc>
        <w:tc>
          <w:tcPr>
            <w:tcW w:w="1870" w:type="dxa"/>
          </w:tcPr>
          <w:p w14:paraId="4D379788" w14:textId="77777777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Budgeted</w:t>
            </w:r>
          </w:p>
          <w:p w14:paraId="01A29A3D" w14:textId="7EFF870C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Amount Year 2</w:t>
            </w:r>
          </w:p>
        </w:tc>
        <w:tc>
          <w:tcPr>
            <w:tcW w:w="1870" w:type="dxa"/>
          </w:tcPr>
          <w:p w14:paraId="4934E51E" w14:textId="636C00DC" w:rsidR="000E655F" w:rsidRPr="00221BCA" w:rsidRDefault="000E655F" w:rsidP="000E655F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%</w:t>
            </w:r>
            <w:r w:rsidRPr="00221BCA">
              <w:rPr>
                <w:sz w:val="18"/>
                <w:szCs w:val="18"/>
              </w:rPr>
              <w:t xml:space="preserve"> Total of Overall</w:t>
            </w:r>
          </w:p>
          <w:p w14:paraId="5603D360" w14:textId="7FF7E07C" w:rsidR="000E655F" w:rsidRPr="00221BCA" w:rsidRDefault="000E655F" w:rsidP="000E655F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 xml:space="preserve">Yr </w:t>
            </w:r>
            <w:r w:rsidRPr="00221BCA">
              <w:rPr>
                <w:sz w:val="18"/>
                <w:szCs w:val="18"/>
              </w:rPr>
              <w:t>2</w:t>
            </w:r>
          </w:p>
        </w:tc>
      </w:tr>
      <w:tr w:rsidR="00A632DB" w:rsidRPr="00221BCA" w14:paraId="73453DEA" w14:textId="77777777" w:rsidTr="000E655F">
        <w:tc>
          <w:tcPr>
            <w:tcW w:w="1870" w:type="dxa"/>
          </w:tcPr>
          <w:p w14:paraId="73C3858D" w14:textId="77777777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Total Coalition Management</w:t>
            </w:r>
          </w:p>
          <w:p w14:paraId="4A0A061B" w14:textId="68EC0092" w:rsidR="0065407D" w:rsidRPr="00221BCA" w:rsidRDefault="00A632D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 xml:space="preserve">Project </w:t>
            </w:r>
            <w:r w:rsidR="0065407D" w:rsidRPr="00221BCA">
              <w:rPr>
                <w:sz w:val="18"/>
                <w:szCs w:val="18"/>
              </w:rPr>
              <w:t xml:space="preserve">Lead 1 responsible for administration is paid $67,600 </w:t>
            </w:r>
            <w:r w:rsidRPr="00221BCA">
              <w:rPr>
                <w:sz w:val="18"/>
                <w:szCs w:val="18"/>
              </w:rPr>
              <w:t xml:space="preserve">as approved by the state and </w:t>
            </w:r>
            <w:r w:rsidR="0065407D" w:rsidRPr="00221BCA">
              <w:rPr>
                <w:sz w:val="18"/>
                <w:szCs w:val="18"/>
              </w:rPr>
              <w:t>commensurate with education, credentials and responsibilities of like positions in the non</w:t>
            </w:r>
            <w:r w:rsidRPr="00221BCA">
              <w:rPr>
                <w:sz w:val="18"/>
                <w:szCs w:val="18"/>
              </w:rPr>
              <w:t>-</w:t>
            </w:r>
            <w:r w:rsidR="0065407D" w:rsidRPr="00221BCA">
              <w:rPr>
                <w:sz w:val="18"/>
                <w:szCs w:val="18"/>
              </w:rPr>
              <w:t>profit sector</w:t>
            </w:r>
            <w:r w:rsidR="00221BCA" w:rsidRPr="00221BCA">
              <w:rPr>
                <w:sz w:val="18"/>
                <w:szCs w:val="18"/>
              </w:rPr>
              <w:t>. Budget includes part time hours for PL2 &amp; PL 3 for state mandated duties and training</w:t>
            </w:r>
          </w:p>
        </w:tc>
        <w:tc>
          <w:tcPr>
            <w:tcW w:w="1870" w:type="dxa"/>
          </w:tcPr>
          <w:p w14:paraId="6630566A" w14:textId="4D6C40E5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$92,447</w:t>
            </w:r>
          </w:p>
        </w:tc>
        <w:tc>
          <w:tcPr>
            <w:tcW w:w="1870" w:type="dxa"/>
          </w:tcPr>
          <w:p w14:paraId="74016ABF" w14:textId="6531B8B8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73%</w:t>
            </w:r>
          </w:p>
        </w:tc>
        <w:tc>
          <w:tcPr>
            <w:tcW w:w="1870" w:type="dxa"/>
          </w:tcPr>
          <w:p w14:paraId="7D990A5A" w14:textId="756551C9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$92,596</w:t>
            </w:r>
          </w:p>
        </w:tc>
        <w:tc>
          <w:tcPr>
            <w:tcW w:w="1870" w:type="dxa"/>
          </w:tcPr>
          <w:p w14:paraId="732F2903" w14:textId="10ED8AB2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47</w:t>
            </w:r>
            <w:r w:rsidR="0006343B" w:rsidRPr="00221BCA">
              <w:rPr>
                <w:sz w:val="18"/>
                <w:szCs w:val="18"/>
              </w:rPr>
              <w:t>%</w:t>
            </w:r>
          </w:p>
        </w:tc>
      </w:tr>
      <w:tr w:rsidR="00A632DB" w:rsidRPr="00221BCA" w14:paraId="2DC22923" w14:textId="77777777" w:rsidTr="000E655F">
        <w:tc>
          <w:tcPr>
            <w:tcW w:w="1870" w:type="dxa"/>
          </w:tcPr>
          <w:p w14:paraId="42653484" w14:textId="5011ACE1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Total Strategy Budget</w:t>
            </w:r>
          </w:p>
        </w:tc>
        <w:tc>
          <w:tcPr>
            <w:tcW w:w="1870" w:type="dxa"/>
          </w:tcPr>
          <w:p w14:paraId="50427EB7" w14:textId="248F86D9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$34,741</w:t>
            </w:r>
          </w:p>
        </w:tc>
        <w:tc>
          <w:tcPr>
            <w:tcW w:w="1870" w:type="dxa"/>
          </w:tcPr>
          <w:p w14:paraId="5A774F6A" w14:textId="21E8428E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37%</w:t>
            </w:r>
          </w:p>
        </w:tc>
        <w:tc>
          <w:tcPr>
            <w:tcW w:w="1870" w:type="dxa"/>
          </w:tcPr>
          <w:p w14:paraId="3F9C8531" w14:textId="4D80C90B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$105,216</w:t>
            </w:r>
          </w:p>
        </w:tc>
        <w:tc>
          <w:tcPr>
            <w:tcW w:w="1870" w:type="dxa"/>
          </w:tcPr>
          <w:p w14:paraId="72AE8F73" w14:textId="69882DF4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53%</w:t>
            </w:r>
          </w:p>
        </w:tc>
      </w:tr>
      <w:tr w:rsidR="00A632DB" w:rsidRPr="00221BCA" w14:paraId="7FEE581C" w14:textId="77777777" w:rsidTr="000E655F">
        <w:tc>
          <w:tcPr>
            <w:tcW w:w="1870" w:type="dxa"/>
          </w:tcPr>
          <w:p w14:paraId="0CB0EF05" w14:textId="5CD31F69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Guiding Good Choices</w:t>
            </w:r>
          </w:p>
        </w:tc>
        <w:tc>
          <w:tcPr>
            <w:tcW w:w="1870" w:type="dxa"/>
          </w:tcPr>
          <w:p w14:paraId="1233C220" w14:textId="1E7B725B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 xml:space="preserve">$15,741.50 </w:t>
            </w:r>
          </w:p>
        </w:tc>
        <w:tc>
          <w:tcPr>
            <w:tcW w:w="1870" w:type="dxa"/>
          </w:tcPr>
          <w:p w14:paraId="49E2136E" w14:textId="220418AF" w:rsidR="000E655F" w:rsidRPr="00221BCA" w:rsidRDefault="000E655F" w:rsidP="002E3CE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7ACE5B58" w14:textId="00DECF39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$20,639</w:t>
            </w:r>
          </w:p>
        </w:tc>
        <w:tc>
          <w:tcPr>
            <w:tcW w:w="1870" w:type="dxa"/>
          </w:tcPr>
          <w:p w14:paraId="59933893" w14:textId="08390FA1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Tier 1 EBP</w:t>
            </w:r>
          </w:p>
        </w:tc>
      </w:tr>
      <w:tr w:rsidR="00A632DB" w:rsidRPr="00221BCA" w14:paraId="09034BFF" w14:textId="77777777" w:rsidTr="000E655F">
        <w:tc>
          <w:tcPr>
            <w:tcW w:w="1870" w:type="dxa"/>
          </w:tcPr>
          <w:p w14:paraId="75B71BE9" w14:textId="0C8F6BEB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lastRenderedPageBreak/>
              <w:t>Ripple Effects</w:t>
            </w:r>
          </w:p>
        </w:tc>
        <w:tc>
          <w:tcPr>
            <w:tcW w:w="1870" w:type="dxa"/>
          </w:tcPr>
          <w:p w14:paraId="49A73AA8" w14:textId="66760ADB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 xml:space="preserve">$7,872 </w:t>
            </w:r>
          </w:p>
        </w:tc>
        <w:tc>
          <w:tcPr>
            <w:tcW w:w="1870" w:type="dxa"/>
          </w:tcPr>
          <w:p w14:paraId="67A5CE62" w14:textId="66AB0337" w:rsidR="000E655F" w:rsidRPr="00221BCA" w:rsidRDefault="000E655F" w:rsidP="002E3CE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CB6AFA9" w14:textId="3179CDE9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$78,048</w:t>
            </w:r>
          </w:p>
        </w:tc>
        <w:tc>
          <w:tcPr>
            <w:tcW w:w="1870" w:type="dxa"/>
          </w:tcPr>
          <w:p w14:paraId="577D9D2A" w14:textId="5A941939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Tier 3 EBP</w:t>
            </w:r>
          </w:p>
        </w:tc>
      </w:tr>
      <w:tr w:rsidR="00A632DB" w:rsidRPr="00221BCA" w14:paraId="3FC8AC56" w14:textId="77777777" w:rsidTr="000E655F">
        <w:tc>
          <w:tcPr>
            <w:tcW w:w="1870" w:type="dxa"/>
          </w:tcPr>
          <w:p w14:paraId="5E873327" w14:textId="0CC7BE5E" w:rsidR="000E655F" w:rsidRPr="00221BCA" w:rsidRDefault="000E655F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Talk They Hear You</w:t>
            </w:r>
          </w:p>
        </w:tc>
        <w:tc>
          <w:tcPr>
            <w:tcW w:w="1870" w:type="dxa"/>
          </w:tcPr>
          <w:p w14:paraId="2FCCB47C" w14:textId="00657DD7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 xml:space="preserve">$11,127.50 </w:t>
            </w:r>
          </w:p>
        </w:tc>
        <w:tc>
          <w:tcPr>
            <w:tcW w:w="1870" w:type="dxa"/>
          </w:tcPr>
          <w:p w14:paraId="09D86B3D" w14:textId="2F822B87" w:rsidR="000E655F" w:rsidRPr="00221BCA" w:rsidRDefault="000E655F" w:rsidP="002E3CE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3C23DE2" w14:textId="50994359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$6,529</w:t>
            </w:r>
          </w:p>
        </w:tc>
        <w:tc>
          <w:tcPr>
            <w:tcW w:w="1870" w:type="dxa"/>
          </w:tcPr>
          <w:p w14:paraId="4DCCAAFE" w14:textId="51212135" w:rsidR="000E655F" w:rsidRPr="00221BCA" w:rsidRDefault="0006343B" w:rsidP="002E3CE3">
            <w:pPr>
              <w:rPr>
                <w:sz w:val="18"/>
                <w:szCs w:val="18"/>
              </w:rPr>
            </w:pPr>
            <w:r w:rsidRPr="00221BCA">
              <w:rPr>
                <w:sz w:val="18"/>
                <w:szCs w:val="18"/>
              </w:rPr>
              <w:t>Tier 2 EBP</w:t>
            </w:r>
          </w:p>
        </w:tc>
      </w:tr>
      <w:tr w:rsidR="00A632DB" w:rsidRPr="00221BCA" w14:paraId="4E6B037B" w14:textId="77777777" w:rsidTr="000E655F">
        <w:tc>
          <w:tcPr>
            <w:tcW w:w="1870" w:type="dxa"/>
          </w:tcPr>
          <w:p w14:paraId="108845D2" w14:textId="77777777" w:rsidR="000E655F" w:rsidRPr="00221BCA" w:rsidRDefault="000E655F" w:rsidP="002E3CE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02CF273" w14:textId="77777777" w:rsidR="000E655F" w:rsidRPr="00221BCA" w:rsidRDefault="000E655F" w:rsidP="002E3CE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66DC274" w14:textId="5B34B5BD" w:rsidR="000E655F" w:rsidRPr="00221BCA" w:rsidRDefault="000E655F" w:rsidP="002E3CE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56EB5650" w14:textId="4E96B36A" w:rsidR="000E655F" w:rsidRPr="00221BCA" w:rsidRDefault="000E655F" w:rsidP="002E3CE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D5B30C7" w14:textId="77777777" w:rsidR="000E655F" w:rsidRPr="00221BCA" w:rsidRDefault="000E655F" w:rsidP="002E3CE3">
            <w:pPr>
              <w:rPr>
                <w:sz w:val="20"/>
                <w:szCs w:val="20"/>
              </w:rPr>
            </w:pPr>
          </w:p>
        </w:tc>
      </w:tr>
    </w:tbl>
    <w:p w14:paraId="69F5459F" w14:textId="5A4FC33A" w:rsidR="0006343B" w:rsidRDefault="0006343B" w:rsidP="0006343B">
      <w:r w:rsidRPr="0006343B">
        <w:rPr>
          <w:b/>
          <w:bCs/>
        </w:rPr>
        <w:t>Guiding Good Choices</w:t>
      </w:r>
      <w:r>
        <w:t xml:space="preserve"> (GGC) is a direct strategy program is considered an evidence based Social</w:t>
      </w:r>
      <w:r>
        <w:t xml:space="preserve"> </w:t>
      </w:r>
      <w:r>
        <w:t>Development Strategy that utilizes prevention science that helps youth grow into healthy adults by</w:t>
      </w:r>
      <w:r w:rsidR="0065407D">
        <w:t xml:space="preserve"> </w:t>
      </w:r>
      <w:r>
        <w:t>building protection and preventing problem behavior</w:t>
      </w:r>
      <w:r w:rsidR="0065407D">
        <w:t xml:space="preserve"> </w:t>
      </w:r>
      <w:r>
        <w:t>.GGC as developed by J. David Hawkins, Ph.D., and Richard F. Catalano, Ph.D. is particularly significant for</w:t>
      </w:r>
      <w:r>
        <w:t xml:space="preserve"> </w:t>
      </w:r>
      <w:r>
        <w:t>La Porte County in promoting positive youth development and reducing risk even in the face of barriers</w:t>
      </w:r>
      <w:r>
        <w:t xml:space="preserve"> </w:t>
      </w:r>
      <w:r>
        <w:t>that families may encounter in a high poverty urban community.</w:t>
      </w:r>
      <w:r w:rsidR="0065407D">
        <w:t xml:space="preserve"> </w:t>
      </w:r>
      <w:r>
        <w:t>An overview of the GCC program) discusses the following:</w:t>
      </w:r>
    </w:p>
    <w:p w14:paraId="2E575A57" w14:textId="77777777" w:rsidR="0006343B" w:rsidRDefault="0006343B" w:rsidP="0006343B">
      <w:pPr>
        <w:pStyle w:val="ListParagraph"/>
        <w:numPr>
          <w:ilvl w:val="0"/>
          <w:numId w:val="4"/>
        </w:numPr>
      </w:pPr>
      <w:r>
        <w:t>Prevention of drug use in the family, nature of problem, increased risk factors &amp; how to reduce</w:t>
      </w:r>
      <w:r>
        <w:t xml:space="preserve"> </w:t>
      </w:r>
      <w:r>
        <w:t>ris</w:t>
      </w:r>
      <w:r>
        <w:t xml:space="preserve">k </w:t>
      </w:r>
    </w:p>
    <w:p w14:paraId="51366879" w14:textId="77777777" w:rsidR="0006343B" w:rsidRDefault="0006343B" w:rsidP="0006343B">
      <w:pPr>
        <w:pStyle w:val="ListParagraph"/>
        <w:numPr>
          <w:ilvl w:val="0"/>
          <w:numId w:val="4"/>
        </w:numPr>
      </w:pPr>
      <w:r>
        <w:t>Setting guidelines, beliefs, &amp; clear standards on alcohol &amp; other drugs.</w:t>
      </w:r>
    </w:p>
    <w:p w14:paraId="694C3ED2" w14:textId="77777777" w:rsidR="0006343B" w:rsidRDefault="0006343B" w:rsidP="0006343B">
      <w:pPr>
        <w:pStyle w:val="ListParagraph"/>
        <w:numPr>
          <w:ilvl w:val="0"/>
          <w:numId w:val="4"/>
        </w:numPr>
      </w:pPr>
      <w:r>
        <w:t>Effective Communication</w:t>
      </w:r>
      <w:r>
        <w:t xml:space="preserve"> </w:t>
      </w:r>
      <w:r>
        <w:t>of expectations</w:t>
      </w:r>
    </w:p>
    <w:p w14:paraId="4CF096FD" w14:textId="77777777" w:rsidR="0006343B" w:rsidRDefault="0006343B" w:rsidP="0006343B">
      <w:pPr>
        <w:pStyle w:val="ListParagraph"/>
        <w:numPr>
          <w:ilvl w:val="0"/>
          <w:numId w:val="4"/>
        </w:numPr>
      </w:pPr>
      <w:r>
        <w:t>Avoiding Trouble-refusal skills, resisting peer influences, family meetings to practice skills</w:t>
      </w:r>
    </w:p>
    <w:p w14:paraId="7325B90D" w14:textId="77777777" w:rsidR="0006343B" w:rsidRDefault="0006343B" w:rsidP="0006343B">
      <w:pPr>
        <w:pStyle w:val="ListParagraph"/>
        <w:numPr>
          <w:ilvl w:val="0"/>
          <w:numId w:val="4"/>
        </w:numPr>
      </w:pPr>
      <w:r>
        <w:t>Managing conflict, expressing anger constructively, using family meetings.</w:t>
      </w:r>
    </w:p>
    <w:p w14:paraId="066E04DF" w14:textId="6E8A1A31" w:rsidR="0006343B" w:rsidRDefault="0006343B" w:rsidP="0006343B">
      <w:pPr>
        <w:pStyle w:val="ListParagraph"/>
        <w:numPr>
          <w:ilvl w:val="0"/>
          <w:numId w:val="4"/>
        </w:numPr>
      </w:pPr>
      <w:r>
        <w:t>Strengthening family bonds, increasing children’s contributions to family, redistributing tasks.</w:t>
      </w:r>
    </w:p>
    <w:p w14:paraId="3DD113EA" w14:textId="38097CB6" w:rsidR="0065407D" w:rsidRPr="0065407D" w:rsidRDefault="0065407D" w:rsidP="0065407D">
      <w:pPr>
        <w:spacing w:after="0" w:line="240" w:lineRule="auto"/>
        <w:jc w:val="both"/>
      </w:pPr>
      <w:r w:rsidRPr="0065407D">
        <w:rPr>
          <w:b/>
          <w:bCs/>
        </w:rPr>
        <w:t>Ripple Effects for Teens</w:t>
      </w:r>
      <w:r w:rsidRPr="0065407D">
        <w:t xml:space="preserve"> program will address behaviors and their root causes such as limited</w:t>
      </w:r>
    </w:p>
    <w:p w14:paraId="7B46A122" w14:textId="24CA5A94" w:rsidR="0065407D" w:rsidRPr="0065407D" w:rsidRDefault="0065407D" w:rsidP="0065407D">
      <w:pPr>
        <w:spacing w:after="0" w:line="240" w:lineRule="auto"/>
        <w:jc w:val="both"/>
      </w:pPr>
      <w:r w:rsidRPr="0065407D">
        <w:t>parental supervision, truancy, poor decision making, lack of refusal skills, struggling to fit in</w:t>
      </w:r>
    </w:p>
    <w:p w14:paraId="5FA08225" w14:textId="77777777" w:rsidR="0065407D" w:rsidRPr="0065407D" w:rsidRDefault="0065407D" w:rsidP="0065407D">
      <w:pPr>
        <w:spacing w:after="0" w:line="240" w:lineRule="auto"/>
        <w:jc w:val="both"/>
      </w:pPr>
      <w:r w:rsidRPr="0065407D">
        <w:t>association with negative peer groups. This program supports youth across public school,</w:t>
      </w:r>
    </w:p>
    <w:p w14:paraId="2BADBBC1" w14:textId="77777777" w:rsidR="0065407D" w:rsidRPr="0065407D" w:rsidRDefault="0065407D" w:rsidP="0065407D">
      <w:pPr>
        <w:spacing w:after="0" w:line="240" w:lineRule="auto"/>
        <w:jc w:val="both"/>
      </w:pPr>
      <w:r w:rsidRPr="0065407D">
        <w:t>alternative education, and juvenile justice settings by strengthening the protective factors they</w:t>
      </w:r>
    </w:p>
    <w:p w14:paraId="5C9DAF5E" w14:textId="6AED8336" w:rsidR="0065407D" w:rsidRDefault="0065407D" w:rsidP="0065407D">
      <w:pPr>
        <w:spacing w:after="0" w:line="240" w:lineRule="auto"/>
        <w:jc w:val="both"/>
      </w:pPr>
      <w:r w:rsidRPr="0065407D">
        <w:t>need to succeed. Ripple Effects will target first time defendants in grade 6-12 who have not demonstrated a</w:t>
      </w:r>
      <w:r>
        <w:t xml:space="preserve"> </w:t>
      </w:r>
      <w:r w:rsidRPr="0065407D">
        <w:t>repeated use patter and have no prior discipline issues for substance related offences or</w:t>
      </w:r>
      <w:r>
        <w:t xml:space="preserve"> </w:t>
      </w:r>
      <w:r w:rsidRPr="0065407D">
        <w:t>diagnostic indicators. It is offered through La Porte County Youth Services Bureau’s “Teen Court”</w:t>
      </w:r>
      <w:r>
        <w:t xml:space="preserve"> based on referrals from schools and probation as an alternative to exclusionary discipline.</w:t>
      </w:r>
    </w:p>
    <w:p w14:paraId="019BB37E" w14:textId="77777777" w:rsidR="0065407D" w:rsidRDefault="0065407D" w:rsidP="0065407D">
      <w:pPr>
        <w:spacing w:after="0" w:line="240" w:lineRule="auto"/>
        <w:jc w:val="both"/>
      </w:pPr>
    </w:p>
    <w:p w14:paraId="6681D289" w14:textId="6341A40B" w:rsidR="0065407D" w:rsidRDefault="0065407D" w:rsidP="0065407D">
      <w:pPr>
        <w:spacing w:after="0" w:line="240" w:lineRule="auto"/>
        <w:jc w:val="both"/>
      </w:pPr>
      <w:r w:rsidRPr="0065407D">
        <w:rPr>
          <w:b/>
          <w:bCs/>
        </w:rPr>
        <w:t>Talk. They Hear You</w:t>
      </w:r>
      <w:r>
        <w:t>. is SAMHSA’s national youth substance use prevention campaign helps</w:t>
      </w:r>
      <w:r>
        <w:t xml:space="preserve"> </w:t>
      </w:r>
      <w:r>
        <w:t>parents and caregivers, educators, and community members get informed, be prepared,</w:t>
      </w:r>
      <w:r>
        <w:t xml:space="preserve"> </w:t>
      </w:r>
      <w:r>
        <w:t>and take action to prevent underage drinking and other substance use. The campaign’s</w:t>
      </w:r>
      <w:r>
        <w:t xml:space="preserve"> </w:t>
      </w:r>
      <w:r>
        <w:t>goal is to provide parents and caregivers with the resources they need to address the issue</w:t>
      </w:r>
      <w:r>
        <w:t xml:space="preserve"> </w:t>
      </w:r>
      <w:r>
        <w:t>of alcohol and other drugs with children under the age of 21. The campaign has historically</w:t>
      </w:r>
      <w:r>
        <w:t xml:space="preserve"> </w:t>
      </w:r>
      <w:r>
        <w:t>equipped parents with the knowledge and skills to increase actions that reduce and</w:t>
      </w:r>
      <w:r>
        <w:t xml:space="preserve"> </w:t>
      </w:r>
      <w:r>
        <w:t>prevent underage drinking. Recently, it has expanded its messaging to include other</w:t>
      </w:r>
      <w:r>
        <w:t xml:space="preserve"> </w:t>
      </w:r>
      <w:r>
        <w:t>substances such as marijuana and prescription drugs.</w:t>
      </w:r>
    </w:p>
    <w:sectPr w:rsidR="0065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EB9F" w14:textId="77777777" w:rsidR="0006343B" w:rsidRDefault="0006343B" w:rsidP="0006343B">
      <w:pPr>
        <w:spacing w:after="0" w:line="240" w:lineRule="auto"/>
      </w:pPr>
      <w:r>
        <w:separator/>
      </w:r>
    </w:p>
  </w:endnote>
  <w:endnote w:type="continuationSeparator" w:id="0">
    <w:p w14:paraId="68133A59" w14:textId="77777777" w:rsidR="0006343B" w:rsidRDefault="0006343B" w:rsidP="0006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F683" w14:textId="77777777" w:rsidR="0006343B" w:rsidRDefault="0006343B" w:rsidP="0006343B">
      <w:pPr>
        <w:spacing w:after="0" w:line="240" w:lineRule="auto"/>
      </w:pPr>
      <w:r>
        <w:separator/>
      </w:r>
    </w:p>
  </w:footnote>
  <w:footnote w:type="continuationSeparator" w:id="0">
    <w:p w14:paraId="6CB56AAC" w14:textId="77777777" w:rsidR="0006343B" w:rsidRDefault="0006343B" w:rsidP="0006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C06"/>
    <w:multiLevelType w:val="hybridMultilevel"/>
    <w:tmpl w:val="8F8A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89E"/>
    <w:multiLevelType w:val="hybridMultilevel"/>
    <w:tmpl w:val="716C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72B5"/>
    <w:multiLevelType w:val="hybridMultilevel"/>
    <w:tmpl w:val="7632DFB8"/>
    <w:lvl w:ilvl="0" w:tplc="71CC214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0622A"/>
    <w:multiLevelType w:val="hybridMultilevel"/>
    <w:tmpl w:val="3CBC44E0"/>
    <w:lvl w:ilvl="0" w:tplc="71CC214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2710">
    <w:abstractNumId w:val="0"/>
  </w:num>
  <w:num w:numId="2" w16cid:durableId="552931779">
    <w:abstractNumId w:val="1"/>
  </w:num>
  <w:num w:numId="3" w16cid:durableId="1845389500">
    <w:abstractNumId w:val="2"/>
  </w:num>
  <w:num w:numId="4" w16cid:durableId="188528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B7"/>
    <w:rsid w:val="00053273"/>
    <w:rsid w:val="0006343B"/>
    <w:rsid w:val="000E655F"/>
    <w:rsid w:val="00195E92"/>
    <w:rsid w:val="00221BCA"/>
    <w:rsid w:val="002E3CE3"/>
    <w:rsid w:val="005A014D"/>
    <w:rsid w:val="0065407D"/>
    <w:rsid w:val="00891CD6"/>
    <w:rsid w:val="00A632DB"/>
    <w:rsid w:val="00BF5ECB"/>
    <w:rsid w:val="00F14914"/>
    <w:rsid w:val="00F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2A34"/>
  <w15:chartTrackingRefBased/>
  <w15:docId w15:val="{6CE3ECA2-8292-432D-ADFF-E7CC0B6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3B"/>
  </w:style>
  <w:style w:type="paragraph" w:styleId="Footer">
    <w:name w:val="footer"/>
    <w:basedOn w:val="Normal"/>
    <w:link w:val="FooterChar"/>
    <w:uiPriority w:val="99"/>
    <w:unhideWhenUsed/>
    <w:rsid w:val="0006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Webb</dc:creator>
  <cp:keywords/>
  <dc:description/>
  <cp:lastModifiedBy>Micki Webb</cp:lastModifiedBy>
  <cp:revision>2</cp:revision>
  <dcterms:created xsi:type="dcterms:W3CDTF">2026-01-06T16:54:00Z</dcterms:created>
  <dcterms:modified xsi:type="dcterms:W3CDTF">2026-01-06T16:54:00Z</dcterms:modified>
</cp:coreProperties>
</file>